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4E9C" w14:textId="77777777" w:rsidR="009D1524" w:rsidRPr="00A062AC" w:rsidRDefault="00701969" w:rsidP="00701969">
      <w:pPr>
        <w:jc w:val="center"/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>IN THE COURT OF COMMON PLEAS</w:t>
      </w:r>
    </w:p>
    <w:p w14:paraId="13688DE4" w14:textId="77777777" w:rsidR="00701969" w:rsidRPr="00A062AC" w:rsidRDefault="00701969" w:rsidP="00701969">
      <w:pPr>
        <w:jc w:val="center"/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>OF THE 37</w:t>
      </w:r>
      <w:r w:rsidRPr="00A062AC">
        <w:rPr>
          <w:b/>
          <w:sz w:val="24"/>
          <w:szCs w:val="24"/>
          <w:vertAlign w:val="superscript"/>
        </w:rPr>
        <w:t>TH</w:t>
      </w:r>
      <w:r w:rsidRPr="00A062AC">
        <w:rPr>
          <w:b/>
          <w:sz w:val="24"/>
          <w:szCs w:val="24"/>
        </w:rPr>
        <w:t xml:space="preserve"> JUDICIAL DISTRICT OF PENNSYLVANIA</w:t>
      </w:r>
    </w:p>
    <w:p w14:paraId="2D1827CA" w14:textId="77777777" w:rsidR="00701969" w:rsidRPr="00A062AC" w:rsidRDefault="00701969" w:rsidP="00701969">
      <w:pPr>
        <w:jc w:val="center"/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>WARREN/FOREST COUNTY</w:t>
      </w:r>
    </w:p>
    <w:p w14:paraId="12BB408F" w14:textId="77777777" w:rsidR="00701969" w:rsidRPr="00A062AC" w:rsidRDefault="00701969" w:rsidP="00701969">
      <w:pPr>
        <w:jc w:val="center"/>
        <w:rPr>
          <w:b/>
          <w:sz w:val="24"/>
          <w:szCs w:val="24"/>
        </w:rPr>
      </w:pPr>
    </w:p>
    <w:p w14:paraId="34A86F10" w14:textId="1B47C17C" w:rsidR="00701969" w:rsidRPr="00A062AC" w:rsidRDefault="00701969" w:rsidP="00701969">
      <w:pPr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 xml:space="preserve">IN RE:  </w:t>
      </w:r>
      <w:r w:rsidR="008D3505">
        <w:rPr>
          <w:b/>
          <w:sz w:val="24"/>
          <w:szCs w:val="24"/>
        </w:rPr>
        <w:t>CUSTODY OF EXHIBITS</w:t>
      </w:r>
    </w:p>
    <w:p w14:paraId="3CB98CBC" w14:textId="61489EE5" w:rsidR="00701969" w:rsidRPr="00A062AC" w:rsidRDefault="008D3505" w:rsidP="007019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DURING AND AFTER COURT</w:t>
      </w:r>
      <w:r w:rsidR="00701969" w:rsidRPr="00A062AC">
        <w:rPr>
          <w:b/>
          <w:sz w:val="24"/>
          <w:szCs w:val="24"/>
        </w:rPr>
        <w:t xml:space="preserve"> </w:t>
      </w:r>
      <w:r w:rsidR="00701969" w:rsidRPr="00A062AC">
        <w:rPr>
          <w:b/>
          <w:sz w:val="24"/>
          <w:szCs w:val="24"/>
        </w:rPr>
        <w:tab/>
      </w:r>
      <w:r w:rsidR="00701969" w:rsidRPr="00A062AC">
        <w:rPr>
          <w:b/>
          <w:sz w:val="24"/>
          <w:szCs w:val="24"/>
        </w:rPr>
        <w:tab/>
        <w:t>:</w:t>
      </w:r>
      <w:r w:rsidR="00701969" w:rsidRPr="00A062AC">
        <w:rPr>
          <w:b/>
          <w:sz w:val="24"/>
          <w:szCs w:val="24"/>
        </w:rPr>
        <w:tab/>
        <w:t xml:space="preserve">No.  </w:t>
      </w:r>
      <w:r w:rsidR="00B65875">
        <w:rPr>
          <w:b/>
          <w:sz w:val="24"/>
          <w:szCs w:val="24"/>
        </w:rPr>
        <w:t>25</w:t>
      </w:r>
      <w:r w:rsidR="008C687A">
        <w:rPr>
          <w:b/>
          <w:sz w:val="24"/>
          <w:szCs w:val="24"/>
        </w:rPr>
        <w:t xml:space="preserve"> </w:t>
      </w:r>
      <w:r w:rsidR="00701969" w:rsidRPr="00A062AC">
        <w:rPr>
          <w:b/>
          <w:sz w:val="24"/>
          <w:szCs w:val="24"/>
        </w:rPr>
        <w:t xml:space="preserve">of </w:t>
      </w:r>
      <w:r w:rsidR="00B65875">
        <w:rPr>
          <w:b/>
          <w:sz w:val="24"/>
          <w:szCs w:val="24"/>
        </w:rPr>
        <w:t>2024</w:t>
      </w:r>
    </w:p>
    <w:p w14:paraId="3558CC8F" w14:textId="148F4540" w:rsidR="00701969" w:rsidRPr="00A062AC" w:rsidRDefault="00701969" w:rsidP="00701969">
      <w:pPr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ab/>
      </w:r>
      <w:r w:rsidR="008D3505">
        <w:rPr>
          <w:b/>
          <w:sz w:val="24"/>
          <w:szCs w:val="24"/>
        </w:rPr>
        <w:t xml:space="preserve">  PROCEEDINGS</w:t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  <w:t>:</w:t>
      </w:r>
      <w:r w:rsidRPr="00A062AC">
        <w:rPr>
          <w:b/>
          <w:sz w:val="24"/>
          <w:szCs w:val="24"/>
        </w:rPr>
        <w:tab/>
        <w:t>Miscellaneous</w:t>
      </w:r>
    </w:p>
    <w:p w14:paraId="2AAC4FA2" w14:textId="77777777" w:rsidR="00701969" w:rsidRPr="00A062AC" w:rsidRDefault="00701969" w:rsidP="00701969">
      <w:pPr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</w:r>
      <w:r w:rsidRPr="00A062AC">
        <w:rPr>
          <w:b/>
          <w:sz w:val="24"/>
          <w:szCs w:val="24"/>
        </w:rPr>
        <w:tab/>
        <w:t>:</w:t>
      </w:r>
    </w:p>
    <w:p w14:paraId="2F77D0D8" w14:textId="77777777" w:rsidR="00701969" w:rsidRDefault="00701969" w:rsidP="00701969">
      <w:pPr>
        <w:rPr>
          <w:sz w:val="24"/>
          <w:szCs w:val="24"/>
        </w:rPr>
      </w:pPr>
    </w:p>
    <w:p w14:paraId="19CEB801" w14:textId="77777777" w:rsidR="00701969" w:rsidRDefault="00701969" w:rsidP="00701969">
      <w:pPr>
        <w:rPr>
          <w:sz w:val="24"/>
          <w:szCs w:val="24"/>
        </w:rPr>
      </w:pPr>
    </w:p>
    <w:p w14:paraId="2A75BE5B" w14:textId="77777777" w:rsidR="00701969" w:rsidRDefault="00701969" w:rsidP="00701969">
      <w:pPr>
        <w:jc w:val="center"/>
        <w:rPr>
          <w:b/>
          <w:sz w:val="24"/>
          <w:szCs w:val="24"/>
        </w:rPr>
      </w:pPr>
      <w:r w:rsidRPr="00A062AC">
        <w:rPr>
          <w:b/>
          <w:sz w:val="24"/>
          <w:szCs w:val="24"/>
        </w:rPr>
        <w:t>ADMINISTRATIVE ORDER</w:t>
      </w:r>
    </w:p>
    <w:p w14:paraId="0214612F" w14:textId="77777777" w:rsidR="00A062AC" w:rsidRPr="00A062AC" w:rsidRDefault="00A062AC" w:rsidP="00701969">
      <w:pPr>
        <w:jc w:val="center"/>
        <w:rPr>
          <w:b/>
          <w:sz w:val="24"/>
          <w:szCs w:val="24"/>
        </w:rPr>
      </w:pPr>
    </w:p>
    <w:p w14:paraId="62E0FD6C" w14:textId="77777777" w:rsidR="00701969" w:rsidRDefault="00701969" w:rsidP="00701969">
      <w:pPr>
        <w:jc w:val="center"/>
        <w:rPr>
          <w:sz w:val="24"/>
          <w:szCs w:val="24"/>
        </w:rPr>
      </w:pPr>
    </w:p>
    <w:p w14:paraId="6C66FEA9" w14:textId="724E4128" w:rsidR="00A062AC" w:rsidRDefault="00701969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AND</w:t>
      </w:r>
      <w:r w:rsidR="0017448B">
        <w:rPr>
          <w:sz w:val="24"/>
          <w:szCs w:val="24"/>
        </w:rPr>
        <w:t xml:space="preserve"> NOW, this </w:t>
      </w:r>
      <w:r w:rsidR="008D3505">
        <w:rPr>
          <w:sz w:val="24"/>
          <w:szCs w:val="24"/>
        </w:rPr>
        <w:t>2</w:t>
      </w:r>
      <w:r w:rsidR="00A94F76">
        <w:rPr>
          <w:sz w:val="24"/>
          <w:szCs w:val="24"/>
        </w:rPr>
        <w:t>8</w:t>
      </w:r>
      <w:r w:rsidR="00AB7467" w:rsidRPr="00AB7467">
        <w:rPr>
          <w:sz w:val="24"/>
          <w:szCs w:val="24"/>
          <w:vertAlign w:val="superscript"/>
        </w:rPr>
        <w:t>th</w:t>
      </w:r>
      <w:r w:rsidR="00AB7467">
        <w:rPr>
          <w:sz w:val="24"/>
          <w:szCs w:val="24"/>
        </w:rPr>
        <w:t xml:space="preserve"> </w:t>
      </w:r>
      <w:r w:rsidR="0017448B">
        <w:rPr>
          <w:sz w:val="24"/>
          <w:szCs w:val="24"/>
        </w:rPr>
        <w:t xml:space="preserve">day of </w:t>
      </w:r>
      <w:r w:rsidR="008D3505">
        <w:rPr>
          <w:sz w:val="24"/>
          <w:szCs w:val="24"/>
        </w:rPr>
        <w:t>February</w:t>
      </w:r>
      <w:r>
        <w:rPr>
          <w:sz w:val="24"/>
          <w:szCs w:val="24"/>
        </w:rPr>
        <w:t>, 20</w:t>
      </w:r>
      <w:r w:rsidR="008D3505">
        <w:rPr>
          <w:sz w:val="24"/>
          <w:szCs w:val="24"/>
        </w:rPr>
        <w:t>24</w:t>
      </w:r>
      <w:r>
        <w:rPr>
          <w:sz w:val="24"/>
          <w:szCs w:val="24"/>
        </w:rPr>
        <w:t xml:space="preserve">, it is hereby Ordered and Decreed that </w:t>
      </w:r>
    </w:p>
    <w:p w14:paraId="464495DA" w14:textId="4B28719C" w:rsidR="00A56D44" w:rsidRDefault="00A56D44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Warren/Forest County </w:t>
      </w:r>
      <w:r w:rsidR="00A258A5">
        <w:rPr>
          <w:sz w:val="24"/>
          <w:szCs w:val="24"/>
        </w:rPr>
        <w:t xml:space="preserve">Court of Common Pleas adopts </w:t>
      </w:r>
      <w:r>
        <w:rPr>
          <w:sz w:val="24"/>
          <w:szCs w:val="24"/>
        </w:rPr>
        <w:t>Local Rule of Judicial Administration Rule R.J.A. L</w:t>
      </w:r>
      <w:r w:rsidR="00223629">
        <w:rPr>
          <w:sz w:val="24"/>
          <w:szCs w:val="24"/>
        </w:rPr>
        <w:t>510</w:t>
      </w:r>
      <w:r w:rsidR="008C687A">
        <w:rPr>
          <w:sz w:val="24"/>
          <w:szCs w:val="24"/>
        </w:rPr>
        <w:t>2 and Rule R.J.A. L5103</w:t>
      </w:r>
      <w:r>
        <w:rPr>
          <w:sz w:val="24"/>
          <w:szCs w:val="24"/>
        </w:rPr>
        <w:t xml:space="preserve"> </w:t>
      </w:r>
      <w:r w:rsidR="00A258A5">
        <w:rPr>
          <w:sz w:val="24"/>
          <w:szCs w:val="24"/>
        </w:rPr>
        <w:t xml:space="preserve">governing the </w:t>
      </w:r>
      <w:r w:rsidR="008C687A">
        <w:rPr>
          <w:sz w:val="24"/>
          <w:szCs w:val="24"/>
        </w:rPr>
        <w:t xml:space="preserve">Custody of Exhibits </w:t>
      </w:r>
      <w:r w:rsidR="00A258A5">
        <w:rPr>
          <w:sz w:val="24"/>
          <w:szCs w:val="24"/>
        </w:rPr>
        <w:t xml:space="preserve">effective </w:t>
      </w:r>
      <w:r w:rsidR="008C687A">
        <w:rPr>
          <w:sz w:val="24"/>
          <w:szCs w:val="24"/>
        </w:rPr>
        <w:t xml:space="preserve">thirty (30) days after publication in the </w:t>
      </w:r>
      <w:r w:rsidR="008C687A" w:rsidRPr="008C687A">
        <w:rPr>
          <w:rFonts w:cstheme="minorHAnsi"/>
          <w:i/>
          <w:iCs/>
          <w:color w:val="333333"/>
          <w:sz w:val="24"/>
          <w:szCs w:val="24"/>
        </w:rPr>
        <w:t>Pennsylvania Bulletin</w:t>
      </w:r>
      <w:r w:rsidR="00A258A5">
        <w:rPr>
          <w:sz w:val="24"/>
          <w:szCs w:val="24"/>
        </w:rPr>
        <w:t xml:space="preserve">.  </w:t>
      </w:r>
    </w:p>
    <w:p w14:paraId="50359ACB" w14:textId="77777777" w:rsidR="00A258A5" w:rsidRDefault="00A258A5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The Warren/Forest District Court Administrator is Ordered to do the following:</w:t>
      </w:r>
    </w:p>
    <w:p w14:paraId="33804C57" w14:textId="77777777" w:rsidR="00A258A5" w:rsidRDefault="00A258A5" w:rsidP="00595995">
      <w:pPr>
        <w:spacing w:line="48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>1.  File one</w:t>
      </w:r>
      <w:r w:rsidR="002236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copy to the Administrative Office of Pennsylvania Courts via email to </w:t>
      </w:r>
      <w:hyperlink r:id="rId4" w:history="1">
        <w:r w:rsidRPr="0037114A">
          <w:rPr>
            <w:rStyle w:val="Hyperlink"/>
            <w:sz w:val="24"/>
            <w:szCs w:val="24"/>
          </w:rPr>
          <w:t>adminrules@pacourts.us</w:t>
        </w:r>
      </w:hyperlink>
      <w:r>
        <w:rPr>
          <w:sz w:val="24"/>
          <w:szCs w:val="24"/>
        </w:rPr>
        <w:t>.</w:t>
      </w:r>
    </w:p>
    <w:p w14:paraId="5BFD8357" w14:textId="72CEAB91" w:rsidR="00A258A5" w:rsidRDefault="00A258A5" w:rsidP="00595995">
      <w:pPr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2.  File </w:t>
      </w:r>
      <w:r w:rsidR="008C687A">
        <w:rPr>
          <w:sz w:val="24"/>
          <w:szCs w:val="24"/>
        </w:rPr>
        <w:t>one</w:t>
      </w:r>
      <w:r>
        <w:rPr>
          <w:sz w:val="24"/>
          <w:szCs w:val="24"/>
        </w:rPr>
        <w:t xml:space="preserve"> (</w:t>
      </w:r>
      <w:r w:rsidR="008C687A">
        <w:rPr>
          <w:sz w:val="24"/>
          <w:szCs w:val="24"/>
        </w:rPr>
        <w:t>1</w:t>
      </w:r>
      <w:r>
        <w:rPr>
          <w:sz w:val="24"/>
          <w:szCs w:val="24"/>
        </w:rPr>
        <w:t xml:space="preserve">) paper </w:t>
      </w:r>
      <w:r w:rsidR="00602A3C">
        <w:rPr>
          <w:sz w:val="24"/>
          <w:szCs w:val="24"/>
        </w:rPr>
        <w:t>copy</w:t>
      </w:r>
      <w:r>
        <w:rPr>
          <w:sz w:val="24"/>
          <w:szCs w:val="24"/>
        </w:rPr>
        <w:t xml:space="preserve"> and one (1) electronic copy in a Microsoft Word format only to </w:t>
      </w:r>
      <w:hyperlink r:id="rId5" w:history="1">
        <w:r w:rsidRPr="0037114A">
          <w:rPr>
            <w:rStyle w:val="Hyperlink"/>
            <w:sz w:val="24"/>
            <w:szCs w:val="24"/>
          </w:rPr>
          <w:t>bulletin@palrb.us</w:t>
        </w:r>
      </w:hyperlink>
      <w:r>
        <w:rPr>
          <w:sz w:val="24"/>
          <w:szCs w:val="24"/>
        </w:rPr>
        <w:t xml:space="preserve"> with the Legislative Reference Bureau for publication in the </w:t>
      </w:r>
      <w:r w:rsidRPr="00A258A5">
        <w:rPr>
          <w:i/>
          <w:sz w:val="24"/>
          <w:szCs w:val="24"/>
        </w:rPr>
        <w:t xml:space="preserve">Pennsylvania Bulletin. </w:t>
      </w:r>
    </w:p>
    <w:p w14:paraId="27A4835D" w14:textId="50480DA9" w:rsidR="00A258A5" w:rsidRDefault="00223629" w:rsidP="00223629">
      <w:pPr>
        <w:spacing w:line="48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>3.  Publish</w:t>
      </w:r>
      <w:r w:rsidR="00A258A5">
        <w:rPr>
          <w:sz w:val="24"/>
          <w:szCs w:val="24"/>
        </w:rPr>
        <w:t xml:space="preserve"> these Rules on the Warren/Forest County Court website at</w:t>
      </w:r>
      <w:r>
        <w:rPr>
          <w:sz w:val="24"/>
          <w:szCs w:val="24"/>
        </w:rPr>
        <w:t xml:space="preserve"> </w:t>
      </w:r>
      <w:hyperlink r:id="rId6" w:history="1">
        <w:r w:rsidR="00602A3C" w:rsidRPr="006A3F34">
          <w:rPr>
            <w:rStyle w:val="Hyperlink"/>
            <w:sz w:val="24"/>
            <w:szCs w:val="24"/>
          </w:rPr>
          <w:t>www.warrenforestcourt.org</w:t>
        </w:r>
      </w:hyperlink>
      <w:r w:rsidR="00A258A5">
        <w:rPr>
          <w:sz w:val="24"/>
          <w:szCs w:val="24"/>
        </w:rPr>
        <w:t>.</w:t>
      </w:r>
    </w:p>
    <w:p w14:paraId="6D5049B2" w14:textId="77777777" w:rsidR="00A258A5" w:rsidRDefault="00A258A5" w:rsidP="00595995">
      <w:pPr>
        <w:spacing w:line="48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4.  File one (1) copy of the local rule in the appropriate filing office for public inspection and copying.  </w:t>
      </w:r>
    </w:p>
    <w:p w14:paraId="3C28135F" w14:textId="77777777" w:rsidR="00A258A5" w:rsidRDefault="00A258A5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BY THE COURT</w:t>
      </w:r>
    </w:p>
    <w:p w14:paraId="687BF7F4" w14:textId="77777777" w:rsidR="00A258A5" w:rsidRDefault="00A258A5" w:rsidP="00A258A5">
      <w:pPr>
        <w:rPr>
          <w:sz w:val="24"/>
          <w:szCs w:val="24"/>
        </w:rPr>
      </w:pPr>
    </w:p>
    <w:p w14:paraId="76E440AD" w14:textId="77777777" w:rsidR="00A258A5" w:rsidRDefault="00A258A5" w:rsidP="00A258A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2D922269" w14:textId="77777777" w:rsidR="00A258A5" w:rsidRDefault="00A258A5" w:rsidP="00A258A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258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Maureen A. Skerda,</w:t>
      </w:r>
    </w:p>
    <w:p w14:paraId="5A3EEFD5" w14:textId="77777777" w:rsidR="00A258A5" w:rsidRPr="00A258A5" w:rsidRDefault="00A258A5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Judge</w:t>
      </w:r>
    </w:p>
    <w:p w14:paraId="4E701E38" w14:textId="77777777" w:rsidR="00602A3C" w:rsidRDefault="00A258A5" w:rsidP="00602A3C">
      <w:pPr>
        <w:jc w:val="both"/>
        <w:rPr>
          <w:b/>
          <w:bCs/>
          <w:sz w:val="28"/>
          <w:szCs w:val="28"/>
        </w:rPr>
      </w:pPr>
      <w:r w:rsidRPr="00230861">
        <w:rPr>
          <w:b/>
          <w:sz w:val="28"/>
          <w:szCs w:val="28"/>
        </w:rPr>
        <w:lastRenderedPageBreak/>
        <w:t>Rule R.J.A.L</w:t>
      </w:r>
      <w:r w:rsidR="00223629" w:rsidRPr="00230861">
        <w:rPr>
          <w:b/>
          <w:sz w:val="28"/>
          <w:szCs w:val="28"/>
        </w:rPr>
        <w:t>510</w:t>
      </w:r>
      <w:r w:rsidR="00602A3C" w:rsidRPr="00230861">
        <w:rPr>
          <w:b/>
          <w:sz w:val="28"/>
          <w:szCs w:val="28"/>
        </w:rPr>
        <w:t>2</w:t>
      </w:r>
      <w:r w:rsidRPr="00230861">
        <w:rPr>
          <w:b/>
          <w:sz w:val="28"/>
          <w:szCs w:val="28"/>
        </w:rPr>
        <w:t>.</w:t>
      </w:r>
      <w:r w:rsidRPr="000C1F5B">
        <w:rPr>
          <w:b/>
          <w:sz w:val="24"/>
          <w:szCs w:val="24"/>
        </w:rPr>
        <w:t xml:space="preserve">  </w:t>
      </w:r>
      <w:r w:rsidR="00602A3C" w:rsidRPr="001C23A9">
        <w:rPr>
          <w:b/>
          <w:bCs/>
          <w:sz w:val="28"/>
          <w:szCs w:val="28"/>
        </w:rPr>
        <w:t>Custody of Exhibits. General Provision</w:t>
      </w:r>
      <w:r w:rsidR="00602A3C">
        <w:rPr>
          <w:b/>
          <w:bCs/>
          <w:sz w:val="28"/>
          <w:szCs w:val="28"/>
        </w:rPr>
        <w:t>s</w:t>
      </w:r>
      <w:r w:rsidR="00602A3C" w:rsidRPr="001C23A9">
        <w:rPr>
          <w:b/>
          <w:bCs/>
          <w:sz w:val="28"/>
          <w:szCs w:val="28"/>
        </w:rPr>
        <w:t>.</w:t>
      </w:r>
    </w:p>
    <w:p w14:paraId="1ED27017" w14:textId="77777777" w:rsidR="00602A3C" w:rsidRDefault="00602A3C" w:rsidP="00602A3C">
      <w:pPr>
        <w:jc w:val="both"/>
        <w:rPr>
          <w:b/>
          <w:bCs/>
          <w:sz w:val="28"/>
          <w:szCs w:val="28"/>
        </w:rPr>
      </w:pPr>
    </w:p>
    <w:p w14:paraId="508F76F5" w14:textId="77777777" w:rsidR="00602A3C" w:rsidRPr="00602A3C" w:rsidRDefault="00602A3C" w:rsidP="00602A3C">
      <w:pPr>
        <w:ind w:firstLine="720"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i/>
          <w:iCs/>
          <w:kern w:val="2"/>
          <w14:ligatures w14:val="standardContextual"/>
        </w:rPr>
        <w:t>(a)  During Court Proceedings before Judge.</w:t>
      </w:r>
    </w:p>
    <w:p w14:paraId="2AD38313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</w:p>
    <w:p w14:paraId="0F58433A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(1) The Official Court Reporter shall be designated as the custodian of all documentary exhibits </w:t>
      </w:r>
    </w:p>
    <w:p w14:paraId="4817BAF2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and photographs of non-documentary exhibits accepted or rejected during the court </w:t>
      </w:r>
    </w:p>
    <w:p w14:paraId="516BBC91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proceedings.</w:t>
      </w:r>
    </w:p>
    <w:p w14:paraId="2D2DDAAC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ab/>
        <w:t xml:space="preserve">(2)  The Official Court Reporter shall maintain the Index of Exhibits and shall use a form which shall </w:t>
      </w:r>
    </w:p>
    <w:p w14:paraId="532AC3B6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be in the following format:</w:t>
      </w:r>
    </w:p>
    <w:p w14:paraId="2AA3050B" w14:textId="77777777" w:rsidR="00602A3C" w:rsidRPr="00602A3C" w:rsidRDefault="00602A3C" w:rsidP="00602A3C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B054E5D" w14:textId="77777777" w:rsidR="00602A3C" w:rsidRPr="00602A3C" w:rsidRDefault="00602A3C" w:rsidP="00602A3C">
      <w:pPr>
        <w:jc w:val="center"/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  <w:r w:rsidRPr="00602A3C"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  <w:t>Index of Exhibits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338"/>
        <w:gridCol w:w="1336"/>
        <w:gridCol w:w="1335"/>
        <w:gridCol w:w="1335"/>
        <w:gridCol w:w="1336"/>
        <w:gridCol w:w="1336"/>
      </w:tblGrid>
      <w:tr w:rsidR="00602A3C" w:rsidRPr="00602A3C" w14:paraId="6078C462" w14:textId="77777777" w:rsidTr="005E166B">
        <w:tc>
          <w:tcPr>
            <w:tcW w:w="1335" w:type="dxa"/>
          </w:tcPr>
          <w:p w14:paraId="259C17AF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Exhibit No.</w:t>
            </w:r>
          </w:p>
        </w:tc>
        <w:tc>
          <w:tcPr>
            <w:tcW w:w="1335" w:type="dxa"/>
          </w:tcPr>
          <w:p w14:paraId="70455C81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Description/Title</w:t>
            </w:r>
          </w:p>
        </w:tc>
        <w:tc>
          <w:tcPr>
            <w:tcW w:w="1336" w:type="dxa"/>
          </w:tcPr>
          <w:p w14:paraId="2FFAA917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Proponent</w:t>
            </w:r>
          </w:p>
        </w:tc>
        <w:tc>
          <w:tcPr>
            <w:tcW w:w="1336" w:type="dxa"/>
          </w:tcPr>
          <w:p w14:paraId="3E35A44F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Marked</w:t>
            </w:r>
          </w:p>
        </w:tc>
        <w:tc>
          <w:tcPr>
            <w:tcW w:w="1336" w:type="dxa"/>
          </w:tcPr>
          <w:p w14:paraId="2AED3315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Rejected</w:t>
            </w:r>
          </w:p>
        </w:tc>
        <w:tc>
          <w:tcPr>
            <w:tcW w:w="1336" w:type="dxa"/>
          </w:tcPr>
          <w:p w14:paraId="68CD71EF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Admitted</w:t>
            </w:r>
          </w:p>
        </w:tc>
        <w:tc>
          <w:tcPr>
            <w:tcW w:w="1336" w:type="dxa"/>
          </w:tcPr>
          <w:p w14:paraId="2C98DEB4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Confidential Information Sheet </w:t>
            </w:r>
          </w:p>
          <w:p w14:paraId="7FA4630C" w14:textId="77777777" w:rsidR="00602A3C" w:rsidRPr="00602A3C" w:rsidRDefault="00602A3C" w:rsidP="00602A3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02A3C">
              <w:rPr>
                <w:rFonts w:eastAsia="Calibri" w:cs="Times New Roman"/>
                <w:b/>
                <w:bCs/>
                <w:sz w:val="16"/>
                <w:szCs w:val="16"/>
              </w:rPr>
              <w:t>(If required)</w:t>
            </w:r>
          </w:p>
        </w:tc>
      </w:tr>
    </w:tbl>
    <w:p w14:paraId="1412DBB7" w14:textId="77777777" w:rsidR="00602A3C" w:rsidRPr="00602A3C" w:rsidRDefault="00602A3C" w:rsidP="00602A3C">
      <w:pPr>
        <w:jc w:val="center"/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14:paraId="3283B57A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  <w:tab/>
      </w: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(3)  If the Official Court Reporter is not present during court proceedings, the Court or a </w:t>
      </w:r>
    </w:p>
    <w:p w14:paraId="01D5D36E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designated tipstaff shall secure all exhibits accepted or rejected during the court proceedings </w:t>
      </w:r>
    </w:p>
    <w:p w14:paraId="031CC8BB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and file them with the Official Court Reporter.</w:t>
      </w:r>
    </w:p>
    <w:p w14:paraId="024D5008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ab/>
        <w:t xml:space="preserve">(4)  If the court proceedings are audio-recorded, the Court or a designated tipstaff shall secure </w:t>
      </w:r>
    </w:p>
    <w:p w14:paraId="6B03FFD1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all exhibits accepted or rejected during the court proceedings and file them with the Official </w:t>
      </w:r>
    </w:p>
    <w:p w14:paraId="1379E0FE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Court Reporter.</w:t>
      </w:r>
    </w:p>
    <w:p w14:paraId="45B9288B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</w:p>
    <w:p w14:paraId="6B554625" w14:textId="77777777" w:rsidR="00602A3C" w:rsidRPr="00602A3C" w:rsidRDefault="00602A3C" w:rsidP="00602A3C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i/>
          <w:iCs/>
          <w:kern w:val="2"/>
          <w14:ligatures w14:val="standardContextual"/>
        </w:rPr>
        <w:t xml:space="preserve">               (b)  After Court Proceedings before Judge.</w:t>
      </w:r>
    </w:p>
    <w:p w14:paraId="4170D7A0" w14:textId="77777777" w:rsidR="00602A3C" w:rsidRPr="00602A3C" w:rsidRDefault="00602A3C" w:rsidP="00602A3C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</w:p>
    <w:p w14:paraId="210CFB68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  <w:r w:rsidRPr="00602A3C">
        <w:rPr>
          <w:rFonts w:ascii="Calibri" w:eastAsia="Calibri" w:hAnsi="Calibri" w:cs="Times New Roman"/>
          <w:kern w:val="2"/>
          <w14:ligatures w14:val="standardContextual"/>
        </w:rPr>
        <w:t>(1)  The Official Court Reporter shall:</w:t>
      </w:r>
    </w:p>
    <w:p w14:paraId="0A1575F0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ab/>
        <w:t xml:space="preserve">       (a)  Secure and maintain all documentary exhibits, photographs, and photographs of </w:t>
      </w:r>
    </w:p>
    <w:p w14:paraId="745A31A8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non-documentary exhibits accepted or rejected during the court proceedings, and;</w:t>
      </w:r>
    </w:p>
    <w:p w14:paraId="432FE015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ab/>
        <w:t xml:space="preserve">       (b)  Secure and maintain all non-documentary exhibits as directed by the Court or agreed to </w:t>
      </w:r>
    </w:p>
    <w:p w14:paraId="1EB46EC1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 by the parties.</w:t>
      </w:r>
    </w:p>
    <w:p w14:paraId="0B09B5E3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E937BCB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ab/>
        <w:t xml:space="preserve">(2)  The Official Court Reporter shall file a copy of the Index of Exhibits with copies of the </w:t>
      </w:r>
    </w:p>
    <w:p w14:paraId="4B00C24F" w14:textId="77777777" w:rsidR="00602A3C" w:rsidRPr="00602A3C" w:rsidRDefault="00602A3C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 w:rsidRPr="00602A3C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exhibits in the Prothonotary’s Office</w:t>
      </w:r>
    </w:p>
    <w:p w14:paraId="4B74C233" w14:textId="77777777" w:rsidR="00A94F76" w:rsidRDefault="00A94F76" w:rsidP="00A94F76">
      <w:pPr>
        <w:ind w:firstLine="720"/>
        <w:rPr>
          <w:rFonts w:ascii="Calibri" w:eastAsia="Calibri" w:hAnsi="Calibri" w:cs="Times New Roman"/>
          <w:kern w:val="2"/>
          <w14:ligatures w14:val="standardContextual"/>
        </w:rPr>
      </w:pPr>
    </w:p>
    <w:p w14:paraId="79C02DB9" w14:textId="0880ACE0" w:rsidR="00A94F76" w:rsidRPr="00A94F76" w:rsidRDefault="00A94F76" w:rsidP="00A94F76">
      <w:pPr>
        <w:ind w:firstLine="720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>(c)  Proceedings before the Court Hearing Officer:</w:t>
      </w:r>
    </w:p>
    <w:p w14:paraId="5CA71C86" w14:textId="77777777" w:rsidR="00A94F76" w:rsidRPr="00A94F76" w:rsidRDefault="00A94F76" w:rsidP="00A94F76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</w:p>
    <w:p w14:paraId="11FE2683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 xml:space="preserve">           </w:t>
      </w: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(1)  In proceedings before the Court Hearing Officer, the Hearing Officer shall be the custodian of </w:t>
      </w:r>
    </w:p>
    <w:p w14:paraId="5E181D4B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the documentary exhibits.</w:t>
      </w:r>
    </w:p>
    <w:p w14:paraId="5E28BECE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ab/>
        <w:t>(2)  The Court Hearing Officer shall retain all documentary exhibits, photographs, and</w:t>
      </w:r>
    </w:p>
    <w:p w14:paraId="5C2CC8A4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photographs of non-documentary exhibits accepted or rejected during the court </w:t>
      </w:r>
    </w:p>
    <w:p w14:paraId="3D1A1352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proceedings.</w:t>
      </w:r>
    </w:p>
    <w:p w14:paraId="2C63FF2A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ab/>
        <w:t xml:space="preserve">(3)  The Court Hearing Officer shall prepare the Index of Exhibits and secure and maintain the </w:t>
      </w:r>
    </w:p>
    <w:p w14:paraId="1340C7F3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Index of Exhibits with the exhibits.</w:t>
      </w:r>
    </w:p>
    <w:p w14:paraId="37437903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2C7A5C12" w14:textId="77777777" w:rsidR="00A94F76" w:rsidRDefault="00A94F76" w:rsidP="00A94F76">
      <w:pP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14:paraId="23CC9B51" w14:textId="77777777" w:rsidR="00A94F76" w:rsidRDefault="00A94F76" w:rsidP="00A94F76">
      <w:pP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14:paraId="77A5602F" w14:textId="77777777" w:rsidR="00A94F76" w:rsidRDefault="00A94F76" w:rsidP="00A94F76">
      <w:pP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14:paraId="10CE762B" w14:textId="77777777" w:rsidR="00A94F76" w:rsidRDefault="00A94F76" w:rsidP="00A94F76">
      <w:pP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14:paraId="328649B9" w14:textId="41D1CE99" w:rsidR="00A94F76" w:rsidRPr="00A94F76" w:rsidRDefault="00230861" w:rsidP="00A94F76">
      <w:pP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  <w:r w:rsidRPr="00230861">
        <w:rPr>
          <w:rFonts w:cs="Times New Roman"/>
          <w:b/>
          <w:sz w:val="28"/>
          <w:szCs w:val="28"/>
        </w:rPr>
        <w:lastRenderedPageBreak/>
        <w:t>Rule R.J.A.L5103</w:t>
      </w:r>
      <w:r w:rsidRPr="00230861"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  <w:t>.</w:t>
      </w:r>
      <w:r w:rsidR="00A94F76" w:rsidRPr="00230861">
        <w:rPr>
          <w:rFonts w:eastAsia="Calibri" w:cs="Times New Roman"/>
          <w:b/>
          <w:bCs/>
          <w:kern w:val="2"/>
          <w:sz w:val="28"/>
          <w:szCs w:val="28"/>
          <w14:ligatures w14:val="standardContextual"/>
        </w:rPr>
        <w:t xml:space="preserve">  Custody of Exhibits. Special Provisions</w:t>
      </w:r>
      <w:r w:rsidR="00A94F76" w:rsidRPr="00A94F76"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  <w:t>.</w:t>
      </w:r>
    </w:p>
    <w:p w14:paraId="64C70BAE" w14:textId="77777777" w:rsidR="00A94F76" w:rsidRPr="00A94F76" w:rsidRDefault="00A94F76" w:rsidP="00A94F76">
      <w:pP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14:paraId="43180B5F" w14:textId="77777777" w:rsidR="00A94F76" w:rsidRPr="00A94F76" w:rsidRDefault="00A94F76" w:rsidP="00A94F76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ab/>
      </w: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>(a) Documentary Exhibits:  Generally.</w:t>
      </w:r>
    </w:p>
    <w:p w14:paraId="0C790A57" w14:textId="77777777" w:rsidR="00A94F76" w:rsidRPr="00A94F76" w:rsidRDefault="00A94F76" w:rsidP="00A94F76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</w:p>
    <w:p w14:paraId="1A8E6261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(1)  If a document is larger than 8 ½ X 11 inches, the Official Court Reporter shall be provided </w:t>
      </w:r>
    </w:p>
    <w:p w14:paraId="6360F49C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with a copy of the same sized 8 ½ X 11 inches.  Items larger than 8 ½ X 11 inches may be used </w:t>
      </w:r>
    </w:p>
    <w:p w14:paraId="1994E88E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for illustration during the court proceedings.</w:t>
      </w:r>
    </w:p>
    <w:p w14:paraId="00AA47F0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ab/>
        <w:t xml:space="preserve">(2)  Original depositions presented at trial shall remain in the proponent’s possession.  The </w:t>
      </w:r>
    </w:p>
    <w:p w14:paraId="1F966615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proponent shall simultaneously submit copies of depositions as an exhibit.</w:t>
      </w:r>
    </w:p>
    <w:p w14:paraId="67D6E754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3A757398" w14:textId="77777777" w:rsidR="00A94F76" w:rsidRPr="00A94F76" w:rsidRDefault="00A94F76" w:rsidP="00A94F76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ab/>
      </w: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>(b)  Non-documentary Exhibits:  Generally.</w:t>
      </w:r>
    </w:p>
    <w:p w14:paraId="46E069EE" w14:textId="77777777" w:rsidR="00A94F76" w:rsidRPr="00A94F76" w:rsidRDefault="00A94F76" w:rsidP="00A94F76">
      <w:pPr>
        <w:rPr>
          <w:rFonts w:ascii="Calibri" w:eastAsia="Calibri" w:hAnsi="Calibri" w:cs="Times New Roman"/>
          <w:i/>
          <w:iCs/>
          <w:kern w:val="2"/>
          <w14:ligatures w14:val="standardContextual"/>
        </w:rPr>
      </w:pPr>
    </w:p>
    <w:p w14:paraId="2A4CB5E4" w14:textId="68ABDDFC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i/>
          <w:iCs/>
          <w:kern w:val="2"/>
          <w14:ligatures w14:val="standardContextual"/>
        </w:rPr>
        <w:tab/>
      </w:r>
      <w:r w:rsidR="00230861">
        <w:rPr>
          <w:rFonts w:ascii="Calibri" w:eastAsia="Calibri" w:hAnsi="Calibri" w:cs="Times New Roman"/>
          <w:i/>
          <w:iCs/>
          <w:kern w:val="2"/>
          <w14:ligatures w14:val="standardContextual"/>
        </w:rPr>
        <w:t>(</w:t>
      </w:r>
      <w:r w:rsidR="00230861">
        <w:rPr>
          <w:rFonts w:ascii="Calibri" w:eastAsia="Calibri" w:hAnsi="Calibri" w:cs="Times New Roman"/>
          <w:kern w:val="2"/>
          <w14:ligatures w14:val="standardContextual"/>
        </w:rPr>
        <w:t>1</w:t>
      </w: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)  If the exhibit is oversized or bulky, the proponent shall maintain custody of the exhibit.  A </w:t>
      </w:r>
    </w:p>
    <w:p w14:paraId="5BEAAAEB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photograph shall be taken by the proponent of the oversized or bulky exhibit and submitted </w:t>
      </w:r>
    </w:p>
    <w:p w14:paraId="54ABD0F6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to the Official Court Reporter either before or during the court proceedings.</w:t>
      </w:r>
    </w:p>
    <w:p w14:paraId="5E7C542B" w14:textId="78ABDEAC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ab/>
        <w:t>(</w:t>
      </w:r>
      <w:r w:rsidR="00230861">
        <w:rPr>
          <w:rFonts w:ascii="Calibri" w:eastAsia="Calibri" w:hAnsi="Calibri" w:cs="Times New Roman"/>
          <w:kern w:val="2"/>
          <w14:ligatures w14:val="standardContextual"/>
        </w:rPr>
        <w:t>2</w:t>
      </w: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)  Copies of audio and/or video recordings presented during the court proceedings shall be </w:t>
      </w:r>
    </w:p>
    <w:p w14:paraId="62B5D78D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  <w:r w:rsidRPr="00A94F7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submitted to the Official Court Reporter either before or during the court proceedings.</w:t>
      </w:r>
    </w:p>
    <w:p w14:paraId="751B2592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2D7D3AB7" w14:textId="77777777" w:rsidR="00A94F76" w:rsidRPr="00A94F76" w:rsidRDefault="00A94F76" w:rsidP="00A94F76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72B26F0" w14:textId="38424EE1" w:rsidR="00602A3C" w:rsidRPr="00602A3C" w:rsidRDefault="00A94F76" w:rsidP="00602A3C">
      <w:pPr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794931D1" w14:textId="77777777" w:rsidR="00602A3C" w:rsidRPr="001C23A9" w:rsidRDefault="00602A3C" w:rsidP="00602A3C">
      <w:pPr>
        <w:jc w:val="both"/>
        <w:rPr>
          <w:b/>
          <w:bCs/>
          <w:sz w:val="28"/>
          <w:szCs w:val="28"/>
        </w:rPr>
      </w:pPr>
    </w:p>
    <w:p w14:paraId="44E331F4" w14:textId="3E441BB7" w:rsidR="00A56D44" w:rsidRPr="000C1F5B" w:rsidRDefault="00A56D44" w:rsidP="00A062AC">
      <w:pPr>
        <w:spacing w:line="480" w:lineRule="auto"/>
        <w:rPr>
          <w:b/>
          <w:sz w:val="24"/>
          <w:szCs w:val="24"/>
        </w:rPr>
      </w:pPr>
    </w:p>
    <w:p w14:paraId="5B002B1D" w14:textId="5BD4419B" w:rsidR="00A062AC" w:rsidRDefault="0017448B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62AC">
        <w:rPr>
          <w:sz w:val="24"/>
          <w:szCs w:val="24"/>
        </w:rPr>
        <w:t xml:space="preserve"> </w:t>
      </w:r>
    </w:p>
    <w:p w14:paraId="3082F0B2" w14:textId="77777777" w:rsidR="00A062AC" w:rsidRDefault="00A062AC" w:rsidP="00A56D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58AB7E" w14:textId="77777777" w:rsidR="00A062AC" w:rsidRDefault="00A062AC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B7B78C" w14:textId="77777777" w:rsidR="00A062AC" w:rsidRDefault="00A062AC" w:rsidP="00A062AC">
      <w:pPr>
        <w:spacing w:line="480" w:lineRule="auto"/>
        <w:rPr>
          <w:sz w:val="24"/>
          <w:szCs w:val="24"/>
        </w:rPr>
      </w:pPr>
    </w:p>
    <w:p w14:paraId="7109473B" w14:textId="77777777" w:rsidR="00701969" w:rsidRPr="00701969" w:rsidRDefault="00A062AC" w:rsidP="00A062A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701969" w:rsidRPr="00701969" w:rsidSect="0091652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69"/>
    <w:rsid w:val="000C1F5B"/>
    <w:rsid w:val="0017448B"/>
    <w:rsid w:val="00223629"/>
    <w:rsid w:val="00230861"/>
    <w:rsid w:val="00595995"/>
    <w:rsid w:val="00602A3C"/>
    <w:rsid w:val="00701969"/>
    <w:rsid w:val="008C687A"/>
    <w:rsid w:val="008D3505"/>
    <w:rsid w:val="0091652B"/>
    <w:rsid w:val="009D1524"/>
    <w:rsid w:val="00A062AC"/>
    <w:rsid w:val="00A258A5"/>
    <w:rsid w:val="00A56D44"/>
    <w:rsid w:val="00A94F76"/>
    <w:rsid w:val="00AB7467"/>
    <w:rsid w:val="00AF2F82"/>
    <w:rsid w:val="00B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C1B0D"/>
  <w15:chartTrackingRefBased/>
  <w15:docId w15:val="{756E1E99-B4EF-485F-9453-93BFE9E4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9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2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5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02A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2A3C"/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rrenforestcourt.org" TargetMode="External"/><Relationship Id="rId5" Type="http://schemas.openxmlformats.org/officeDocument/2006/relationships/hyperlink" Target="mailto:bulletin@palrb.us" TargetMode="External"/><Relationship Id="rId4" Type="http://schemas.openxmlformats.org/officeDocument/2006/relationships/hyperlink" Target="mailto:adminrules@pacourt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4325</Characters>
  <Application>Microsoft Office Word</Application>
  <DocSecurity>4</DocSecurity>
  <Lines>139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Critzer,Linda</dc:creator>
  <cp:keywords/>
  <dc:description/>
  <cp:lastModifiedBy>Arnold, Jessica</cp:lastModifiedBy>
  <cp:revision>2</cp:revision>
  <cp:lastPrinted>2024-02-29T13:47:00Z</cp:lastPrinted>
  <dcterms:created xsi:type="dcterms:W3CDTF">2024-02-29T14:07:00Z</dcterms:created>
  <dcterms:modified xsi:type="dcterms:W3CDTF">2024-02-29T14:07:00Z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9ef6ca7ce21bebe0412d12ad8a24d2b3ec9262f893b739542425560be21d2591</vt:lpwstr>
  </property>
</Properties>
</file>